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68" w:rsidRPr="008A3586" w:rsidRDefault="00A52D68" w:rsidP="00A52D68">
      <w:pPr>
        <w:spacing w:before="0" w:after="0"/>
        <w:rPr>
          <w:rFonts w:eastAsia="MS Mincho"/>
          <w:b/>
          <w:bCs/>
          <w:color w:val="1F497D"/>
          <w:sz w:val="36"/>
          <w:szCs w:val="36"/>
          <w:lang w:val="en-US"/>
        </w:rPr>
      </w:pPr>
      <w:r w:rsidRPr="008A3586">
        <w:rPr>
          <w:rFonts w:eastAsia="MS Mincho"/>
          <w:b/>
          <w:bCs/>
          <w:color w:val="1F497D"/>
          <w:sz w:val="36"/>
          <w:szCs w:val="36"/>
          <w:lang w:val="en-US"/>
        </w:rPr>
        <w:t>Essential questions a school might focus on to make data-based decisions.</w:t>
      </w:r>
    </w:p>
    <w:p w:rsidR="00A52D68" w:rsidRPr="008A3586" w:rsidRDefault="00A52D68" w:rsidP="00A52D68">
      <w:pPr>
        <w:spacing w:before="0" w:after="0"/>
        <w:rPr>
          <w:rFonts w:eastAsia="MS Mincho"/>
          <w:b/>
          <w:bCs/>
          <w:sz w:val="24"/>
          <w:lang w:val="en-US"/>
        </w:rPr>
      </w:pPr>
    </w:p>
    <w:p w:rsidR="00A52D68" w:rsidRDefault="00322895" w:rsidP="00A52D68">
      <w:pPr>
        <w:spacing w:before="0" w:after="0"/>
        <w:rPr>
          <w:rFonts w:eastAsia="MS Mincho"/>
          <w:sz w:val="24"/>
          <w:lang w:val="en-US"/>
        </w:rPr>
      </w:pPr>
      <w:r>
        <w:rPr>
          <w:rFonts w:eastAsia="MS Mincho"/>
          <w:sz w:val="24"/>
          <w:lang w:val="en-US"/>
        </w:rPr>
        <w:t>This document is intended for Boards of Trustees, Principals, senior and middle leaders.</w:t>
      </w:r>
    </w:p>
    <w:p w:rsidR="00322895" w:rsidRPr="008A3586" w:rsidRDefault="00322895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Are s</w:t>
      </w:r>
      <w:bookmarkStart w:id="0" w:name="_GoBack"/>
      <w:bookmarkEnd w:id="0"/>
      <w:r w:rsidRPr="008A3586">
        <w:rPr>
          <w:rFonts w:eastAsia="MS Mincho"/>
          <w:sz w:val="24"/>
          <w:lang w:val="en-US"/>
        </w:rPr>
        <w:t>pecific reading and math interventions improving literacy skills and reducing achievement gaps for selected groups of students?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Do previous assessment results and attendance rates of Year 10 indicate the need for targeted interventions and instructional supports at that level?</w:t>
      </w: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Which small learning communities are making the greatest progress in improving student performance in areas related to attendance, discipline, course grades, standardised assessment results, and post secondary transitions?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Are there unique characteristics of high-performing and low-performing students that indicate equity issues that need to be addressed more effectively?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How do students’ report marks compare to their results on standardised tests and NCEA results?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Do grading patterns for reports reflect consistency in grading criteria across subject-area class groups or across learning communities as the school aligns instruction more closely with the NZC?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8A3586">
        <w:rPr>
          <w:rFonts w:eastAsia="MS Mincho"/>
          <w:sz w:val="24"/>
          <w:lang w:val="en-US"/>
        </w:rPr>
        <w:t>How do assessment results for students new to the school in Years 9 or 10 compare to the results of students who have been in the school for their middle school years?</w:t>
      </w:r>
    </w:p>
    <w:p w:rsidR="00A52D68" w:rsidRPr="008A3586" w:rsidRDefault="00A52D68" w:rsidP="00A52D68">
      <w:pPr>
        <w:spacing w:before="0" w:after="0"/>
        <w:ind w:left="720"/>
        <w:contextualSpacing/>
        <w:rPr>
          <w:rFonts w:eastAsia="MS Mincho"/>
          <w:sz w:val="24"/>
          <w:lang w:val="en-US"/>
        </w:rPr>
      </w:pPr>
    </w:p>
    <w:p w:rsidR="00A52D68" w:rsidRPr="009A12EF" w:rsidRDefault="00A52D68" w:rsidP="00A52D68">
      <w:pPr>
        <w:numPr>
          <w:ilvl w:val="0"/>
          <w:numId w:val="15"/>
        </w:numPr>
        <w:spacing w:before="0" w:after="0"/>
        <w:contextualSpacing/>
        <w:rPr>
          <w:rFonts w:eastAsia="MS Mincho"/>
          <w:sz w:val="24"/>
          <w:lang w:val="en-US"/>
        </w:rPr>
      </w:pPr>
      <w:r w:rsidRPr="009A12EF">
        <w:rPr>
          <w:rFonts w:eastAsia="MS Mincho"/>
          <w:sz w:val="24"/>
          <w:lang w:val="en-US"/>
        </w:rPr>
        <w:t>Does each cohort of students show longitudinal improvement in their performance on standardised tests and NCEA results?</w:t>
      </w: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Pr="008A3586" w:rsidRDefault="00A52D68" w:rsidP="00A52D68">
      <w:pPr>
        <w:spacing w:before="0" w:after="0"/>
        <w:rPr>
          <w:rFonts w:eastAsia="MS Mincho"/>
          <w:sz w:val="24"/>
          <w:lang w:val="en-US"/>
        </w:rPr>
      </w:pPr>
    </w:p>
    <w:p w:rsidR="00A52D68" w:rsidRDefault="00A52D68">
      <w:pPr>
        <w:spacing w:before="0" w:after="0"/>
        <w:rPr>
          <w:rFonts w:eastAsia="MS Mincho"/>
          <w:b/>
          <w:color w:val="1F497D"/>
          <w:sz w:val="36"/>
          <w:szCs w:val="36"/>
          <w:lang w:val="en-US"/>
        </w:rPr>
      </w:pPr>
    </w:p>
    <w:sectPr w:rsidR="00A52D68" w:rsidSect="00B71475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383" w:right="1340" w:bottom="709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3A" w:rsidRDefault="000B463A">
      <w:r>
        <w:separator/>
      </w:r>
    </w:p>
  </w:endnote>
  <w:endnote w:type="continuationSeparator" w:id="0">
    <w:p w:rsidR="000B463A" w:rsidRDefault="000B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DF6C33" w:rsidRPr="00DF6C33" w:rsidRDefault="00A52D68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A52D68">
          <w:rPr>
            <w:b/>
            <w:sz w:val="12"/>
            <w:szCs w:val="12"/>
            <w:lang w:val="en-NZ"/>
          </w:rPr>
          <w:t>Essential Questions for a School to Ask</w:t>
        </w:r>
      </w:p>
      <w:p w:rsidR="00A52D68" w:rsidRDefault="00212FCE" w:rsidP="00A52D68">
        <w:pPr>
          <w:pStyle w:val="Footer"/>
          <w:jc w:val="center"/>
          <w:rPr>
            <w:b/>
            <w:noProof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0438FB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0438FB" w:rsidRPr="00212FCE">
          <w:rPr>
            <w:b/>
            <w:sz w:val="12"/>
            <w:szCs w:val="12"/>
          </w:rPr>
          <w:fldChar w:fldCharType="separate"/>
        </w:r>
        <w:r w:rsidR="00322895">
          <w:rPr>
            <w:b/>
            <w:noProof/>
            <w:sz w:val="12"/>
            <w:szCs w:val="12"/>
          </w:rPr>
          <w:t>1</w:t>
        </w:r>
        <w:r w:rsidR="000438FB" w:rsidRPr="00212FCE">
          <w:rPr>
            <w:b/>
            <w:noProof/>
            <w:sz w:val="12"/>
            <w:szCs w:val="12"/>
          </w:rPr>
          <w:fldChar w:fldCharType="end"/>
        </w:r>
      </w:p>
      <w:p w:rsidR="004D7B9E" w:rsidRPr="00A52D68" w:rsidRDefault="00322895" w:rsidP="00A52D68">
        <w:pPr>
          <w:pStyle w:val="Footer"/>
          <w:jc w:val="center"/>
          <w:rPr>
            <w:b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3A" w:rsidRDefault="000B463A">
      <w:r>
        <w:separator/>
      </w:r>
    </w:p>
  </w:footnote>
  <w:footnote w:type="continuationSeparator" w:id="0">
    <w:p w:rsidR="000B463A" w:rsidRDefault="000B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36011548"/>
    <w:multiLevelType w:val="hybridMultilevel"/>
    <w:tmpl w:val="43C8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0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1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438FB"/>
    <w:rsid w:val="00077BB2"/>
    <w:rsid w:val="000A4C48"/>
    <w:rsid w:val="000B463A"/>
    <w:rsid w:val="000C2368"/>
    <w:rsid w:val="001A179A"/>
    <w:rsid w:val="001C6A2B"/>
    <w:rsid w:val="001D4128"/>
    <w:rsid w:val="00212FCE"/>
    <w:rsid w:val="0022237C"/>
    <w:rsid w:val="00270C4E"/>
    <w:rsid w:val="00322895"/>
    <w:rsid w:val="004D7B9E"/>
    <w:rsid w:val="005A40A0"/>
    <w:rsid w:val="005E5232"/>
    <w:rsid w:val="007661DA"/>
    <w:rsid w:val="007B778C"/>
    <w:rsid w:val="008D4CDD"/>
    <w:rsid w:val="009A12EF"/>
    <w:rsid w:val="00A52D68"/>
    <w:rsid w:val="00B21AF0"/>
    <w:rsid w:val="00B71475"/>
    <w:rsid w:val="00B94636"/>
    <w:rsid w:val="00CE2EE1"/>
    <w:rsid w:val="00DB1E96"/>
    <w:rsid w:val="00DF14A4"/>
    <w:rsid w:val="00DF6C33"/>
    <w:rsid w:val="00F47E16"/>
    <w:rsid w:val="00F51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1415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9</cp:revision>
  <cp:lastPrinted>2008-05-29T00:59:00Z</cp:lastPrinted>
  <dcterms:created xsi:type="dcterms:W3CDTF">2015-08-19T22:07:00Z</dcterms:created>
  <dcterms:modified xsi:type="dcterms:W3CDTF">2016-01-17T21:47:00Z</dcterms:modified>
</cp:coreProperties>
</file>