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51" w:rsidRPr="00183627" w:rsidRDefault="009C1151" w:rsidP="009C1151">
      <w:pPr>
        <w:widowControl w:val="0"/>
        <w:autoSpaceDE w:val="0"/>
        <w:autoSpaceDN w:val="0"/>
        <w:adjustRightInd w:val="0"/>
        <w:spacing w:before="0" w:after="0"/>
        <w:rPr>
          <w:rFonts w:eastAsia="MS Mincho" w:cs="Calibri"/>
          <w:b/>
          <w:color w:val="365F91"/>
          <w:sz w:val="36"/>
          <w:szCs w:val="36"/>
          <w:lang w:val="en-US"/>
        </w:rPr>
      </w:pPr>
      <w:r w:rsidRPr="00183627">
        <w:rPr>
          <w:rFonts w:eastAsia="MS Mincho" w:cs="Calibri"/>
          <w:b/>
          <w:bCs/>
          <w:color w:val="365F91"/>
          <w:sz w:val="36"/>
          <w:szCs w:val="36"/>
          <w:lang w:val="en-US"/>
        </w:rPr>
        <w:t>Data Quality, Capacity, and Culture Self Questionnaire</w:t>
      </w:r>
    </w:p>
    <w:p w:rsidR="009C1151" w:rsidRDefault="009C1151" w:rsidP="009C1151">
      <w:pPr>
        <w:widowControl w:val="0"/>
        <w:autoSpaceDE w:val="0"/>
        <w:autoSpaceDN w:val="0"/>
        <w:adjustRightInd w:val="0"/>
        <w:spacing w:before="0" w:after="0"/>
        <w:rPr>
          <w:rFonts w:eastAsia="MS Mincho" w:cs="Calibri"/>
          <w:b/>
          <w:bCs/>
          <w:color w:val="000000"/>
          <w:szCs w:val="20"/>
          <w:lang w:val="en-US"/>
        </w:rPr>
      </w:pPr>
    </w:p>
    <w:p w:rsidR="00687259" w:rsidRPr="00687259" w:rsidRDefault="00687259" w:rsidP="009C1151">
      <w:pPr>
        <w:widowControl w:val="0"/>
        <w:autoSpaceDE w:val="0"/>
        <w:autoSpaceDN w:val="0"/>
        <w:adjustRightInd w:val="0"/>
        <w:spacing w:before="0" w:after="0"/>
        <w:rPr>
          <w:rFonts w:eastAsia="MS Mincho" w:cs="Calibri"/>
          <w:bCs/>
          <w:color w:val="000000"/>
          <w:sz w:val="24"/>
          <w:lang w:val="en-US"/>
        </w:rPr>
      </w:pPr>
      <w:r w:rsidRPr="00687259">
        <w:rPr>
          <w:rFonts w:eastAsia="MS Mincho" w:cs="Calibri"/>
          <w:bCs/>
          <w:color w:val="000000"/>
          <w:sz w:val="24"/>
          <w:lang w:val="en-US"/>
        </w:rPr>
        <w:t xml:space="preserve">This document is intended for all staff, to be used as a questionnaire </w:t>
      </w:r>
      <w:r>
        <w:rPr>
          <w:rFonts w:eastAsia="MS Mincho" w:cs="Calibri"/>
          <w:bCs/>
          <w:color w:val="000000"/>
          <w:sz w:val="24"/>
          <w:lang w:val="en-US"/>
        </w:rPr>
        <w:t>in order for the SAM and senior leaders to obtain feedback about the state of data in a school.</w:t>
      </w:r>
    </w:p>
    <w:p w:rsidR="00687259" w:rsidRDefault="00687259" w:rsidP="009C1151">
      <w:pPr>
        <w:widowControl w:val="0"/>
        <w:autoSpaceDE w:val="0"/>
        <w:autoSpaceDN w:val="0"/>
        <w:adjustRightInd w:val="0"/>
        <w:spacing w:before="0" w:after="0"/>
        <w:rPr>
          <w:rFonts w:eastAsia="MS Mincho" w:cs="Calibri"/>
          <w:b/>
          <w:bCs/>
          <w:color w:val="365F91"/>
          <w:sz w:val="32"/>
          <w:szCs w:val="32"/>
          <w:lang w:val="en-US"/>
        </w:rPr>
      </w:pPr>
    </w:p>
    <w:p w:rsidR="009C1151" w:rsidRPr="00183627" w:rsidRDefault="009C1151" w:rsidP="009C1151">
      <w:pPr>
        <w:widowControl w:val="0"/>
        <w:autoSpaceDE w:val="0"/>
        <w:autoSpaceDN w:val="0"/>
        <w:adjustRightInd w:val="0"/>
        <w:spacing w:before="0" w:after="0"/>
        <w:rPr>
          <w:rFonts w:eastAsia="MS Mincho" w:cs="Calibri"/>
          <w:b/>
          <w:bCs/>
          <w:color w:val="000000"/>
          <w:szCs w:val="20"/>
          <w:lang w:val="en-US"/>
        </w:rPr>
      </w:pPr>
      <w:r w:rsidRPr="00183627">
        <w:rPr>
          <w:rFonts w:eastAsia="MS Mincho" w:cs="Calibri"/>
          <w:b/>
          <w:bCs/>
          <w:color w:val="365F91"/>
          <w:sz w:val="32"/>
          <w:szCs w:val="32"/>
          <w:lang w:val="en-US"/>
        </w:rPr>
        <w:t>Instructions:</w:t>
      </w:r>
      <w:r w:rsidRPr="00183627">
        <w:rPr>
          <w:rFonts w:eastAsia="MS Mincho" w:cs="Calibri"/>
          <w:b/>
          <w:bCs/>
          <w:color w:val="000000"/>
          <w:szCs w:val="20"/>
          <w:lang w:val="en-US"/>
        </w:rPr>
        <w:t xml:space="preserve"> </w:t>
      </w:r>
    </w:p>
    <w:p w:rsidR="009C1151" w:rsidRPr="00183627" w:rsidRDefault="009C1151" w:rsidP="009C1151">
      <w:pPr>
        <w:widowControl w:val="0"/>
        <w:autoSpaceDE w:val="0"/>
        <w:autoSpaceDN w:val="0"/>
        <w:adjustRightInd w:val="0"/>
        <w:spacing w:before="0" w:after="0"/>
        <w:rPr>
          <w:rFonts w:eastAsia="MS Mincho" w:cs="Calibri"/>
          <w:b/>
          <w:bCs/>
          <w:color w:val="000000"/>
          <w:szCs w:val="20"/>
          <w:lang w:val="en-US"/>
        </w:rPr>
      </w:pPr>
    </w:p>
    <w:p w:rsidR="009C1151" w:rsidRPr="00183627" w:rsidRDefault="009C1151" w:rsidP="009C1151">
      <w:pPr>
        <w:widowControl w:val="0"/>
        <w:autoSpaceDE w:val="0"/>
        <w:autoSpaceDN w:val="0"/>
        <w:adjustRightInd w:val="0"/>
        <w:spacing w:before="0" w:after="0"/>
        <w:rPr>
          <w:rFonts w:eastAsia="MS Mincho" w:cs="Calibri"/>
          <w:color w:val="000000"/>
          <w:sz w:val="24"/>
          <w:lang w:val="en-US"/>
        </w:rPr>
      </w:pPr>
      <w:r w:rsidRPr="00183627">
        <w:rPr>
          <w:rFonts w:eastAsia="MS Mincho" w:cs="Calibri"/>
          <w:color w:val="000000"/>
          <w:sz w:val="24"/>
          <w:lang w:val="en-US"/>
        </w:rPr>
        <w:t>Rate each statement with a check in the Red, Yellow, Blue, or Green column. Think about each statement in the context of your whole school practice. Red</w:t>
      </w:r>
      <w:r w:rsidR="00CB5163">
        <w:rPr>
          <w:rFonts w:eastAsia="MS Mincho" w:cs="Calibri"/>
          <w:color w:val="000000"/>
          <w:sz w:val="24"/>
          <w:lang w:val="en-US"/>
        </w:rPr>
        <w:t xml:space="preserve"> means that you feel your </w:t>
      </w:r>
      <w:r w:rsidRPr="00183627">
        <w:rPr>
          <w:rFonts w:eastAsia="MS Mincho" w:cs="Calibri"/>
          <w:color w:val="000000"/>
          <w:sz w:val="24"/>
          <w:lang w:val="en-US"/>
        </w:rPr>
        <w:t>school is seriously lacking in this area. Green</w:t>
      </w:r>
      <w:r w:rsidR="00CB5163">
        <w:rPr>
          <w:rFonts w:eastAsia="MS Mincho" w:cs="Calibri"/>
          <w:color w:val="000000"/>
          <w:sz w:val="24"/>
          <w:lang w:val="en-US"/>
        </w:rPr>
        <w:t xml:space="preserve"> means that you feel your </w:t>
      </w:r>
      <w:r w:rsidRPr="00183627">
        <w:rPr>
          <w:rFonts w:eastAsia="MS Mincho" w:cs="Calibri"/>
          <w:color w:val="000000"/>
          <w:sz w:val="24"/>
          <w:lang w:val="en-US"/>
        </w:rPr>
        <w:t>school is doing well in this area.</w:t>
      </w:r>
    </w:p>
    <w:p w:rsidR="009C1151" w:rsidRPr="00183627" w:rsidRDefault="009C1151" w:rsidP="009C1151">
      <w:pPr>
        <w:widowControl w:val="0"/>
        <w:autoSpaceDE w:val="0"/>
        <w:autoSpaceDN w:val="0"/>
        <w:adjustRightInd w:val="0"/>
        <w:spacing w:before="0" w:after="0"/>
        <w:rPr>
          <w:rFonts w:eastAsia="MS Mincho" w:cs="Calibri"/>
          <w:color w:val="000000"/>
          <w:szCs w:val="20"/>
          <w:lang w:val="en-US"/>
        </w:rPr>
      </w:pPr>
    </w:p>
    <w:tbl>
      <w:tblPr>
        <w:tblW w:w="10476" w:type="dxa"/>
        <w:jc w:val="center"/>
        <w:tblLayout w:type="fixed"/>
        <w:tblLook w:val="04A0" w:firstRow="1" w:lastRow="0" w:firstColumn="1" w:lastColumn="0" w:noHBand="0" w:noVBand="1"/>
      </w:tblPr>
      <w:tblGrid>
        <w:gridCol w:w="6860"/>
        <w:gridCol w:w="904"/>
        <w:gridCol w:w="904"/>
        <w:gridCol w:w="904"/>
        <w:gridCol w:w="904"/>
      </w:tblGrid>
      <w:tr w:rsidR="009C1151" w:rsidRPr="00183627" w:rsidTr="003955E6">
        <w:trPr>
          <w:trHeight w:val="522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C1151" w:rsidRPr="00183627" w:rsidRDefault="009C1151" w:rsidP="0081269F">
            <w:pPr>
              <w:spacing w:before="0" w:after="0"/>
              <w:rPr>
                <w:b/>
                <w:bCs/>
                <w:color w:val="FFFFFF"/>
                <w:sz w:val="28"/>
                <w:szCs w:val="28"/>
                <w:lang w:val="en-NZ" w:eastAsia="en-NZ"/>
              </w:rPr>
            </w:pPr>
            <w:r w:rsidRPr="00183627">
              <w:rPr>
                <w:b/>
                <w:bCs/>
                <w:color w:val="FFFFFF"/>
                <w:sz w:val="28"/>
                <w:szCs w:val="28"/>
                <w:lang w:val="en-US" w:eastAsia="en-NZ"/>
              </w:rPr>
              <w:t>Data Quality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C1151" w:rsidRPr="003955E6" w:rsidRDefault="009C1151" w:rsidP="0081269F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Red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C1151" w:rsidRPr="003955E6" w:rsidRDefault="009C1151" w:rsidP="0081269F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Yellow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C1151" w:rsidRPr="003955E6" w:rsidRDefault="009C1151" w:rsidP="0081269F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Blue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C1151" w:rsidRPr="003955E6" w:rsidRDefault="009C1151" w:rsidP="0081269F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Green</w:t>
            </w:r>
          </w:p>
        </w:tc>
      </w:tr>
      <w:tr w:rsidR="009C1151" w:rsidRPr="00183627" w:rsidTr="003955E6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183627" w:rsidRDefault="009C1151" w:rsidP="003955E6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Timely Data: </w:t>
            </w:r>
            <w:r w:rsidRPr="00183627">
              <w:rPr>
                <w:color w:val="000000"/>
                <w:sz w:val="24"/>
                <w:lang w:val="en-US" w:eastAsia="en-NZ"/>
              </w:rPr>
              <w:t>We receive data in a timely manner</w:t>
            </w:r>
            <w:r w:rsidR="001D0188">
              <w:rPr>
                <w:color w:val="000000"/>
                <w:sz w:val="24"/>
                <w:lang w:val="en-US" w:eastAsia="en-NZ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9C1151" w:rsidRPr="00183627" w:rsidTr="003955E6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183627" w:rsidRDefault="009C1151" w:rsidP="003955E6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Accurate Data: </w:t>
            </w:r>
            <w:r w:rsidR="00CB5163">
              <w:rPr>
                <w:color w:val="000000"/>
                <w:sz w:val="24"/>
                <w:lang w:val="en-US" w:eastAsia="en-NZ"/>
              </w:rPr>
              <w:t xml:space="preserve">The staff in my </w:t>
            </w:r>
            <w:r w:rsidR="0057105E">
              <w:rPr>
                <w:color w:val="000000"/>
                <w:sz w:val="24"/>
                <w:lang w:val="en-US" w:eastAsia="en-NZ"/>
              </w:rPr>
              <w:t>school have</w:t>
            </w:r>
            <w:r w:rsidRPr="00183627">
              <w:rPr>
                <w:color w:val="000000"/>
                <w:sz w:val="24"/>
                <w:lang w:val="en-US" w:eastAsia="en-NZ"/>
              </w:rPr>
              <w:t xml:space="preserve"> confidence that the data we are provided are accurate.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9C1151" w:rsidRPr="00183627" w:rsidTr="003955E6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183627" w:rsidRDefault="009C1151" w:rsidP="003955E6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Relevant Data: </w:t>
            </w:r>
            <w:r w:rsidRPr="00183627">
              <w:rPr>
                <w:color w:val="000000"/>
                <w:sz w:val="24"/>
                <w:lang w:val="en-US" w:eastAsia="en-NZ"/>
              </w:rPr>
              <w:t>We have access to data that are relevant to the critical</w:t>
            </w:r>
            <w:r w:rsidR="00CB5163">
              <w:rPr>
                <w:color w:val="000000"/>
                <w:sz w:val="24"/>
                <w:lang w:val="en-US" w:eastAsia="en-NZ"/>
              </w:rPr>
              <w:t xml:space="preserve"> educational issues in my </w:t>
            </w:r>
            <w:r w:rsidRPr="00183627">
              <w:rPr>
                <w:color w:val="000000"/>
                <w:sz w:val="24"/>
                <w:lang w:val="en-US" w:eastAsia="en-NZ"/>
              </w:rPr>
              <w:t>school.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9C1151" w:rsidRPr="00183627" w:rsidTr="003955E6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183627" w:rsidRDefault="009C1151" w:rsidP="003955E6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Comprehensive &amp; Complete Data: </w:t>
            </w:r>
            <w:r w:rsidRPr="00183627">
              <w:rPr>
                <w:color w:val="000000"/>
                <w:sz w:val="24"/>
                <w:lang w:val="en-US" w:eastAsia="en-NZ"/>
              </w:rPr>
              <w:t>There are no “holes” in the data that we are provided.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9C1151" w:rsidRPr="00183627" w:rsidTr="003955E6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183627" w:rsidRDefault="009C1151" w:rsidP="003955E6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Data Integration: </w:t>
            </w:r>
            <w:r w:rsidRPr="00183627">
              <w:rPr>
                <w:color w:val="000000"/>
                <w:sz w:val="24"/>
                <w:lang w:val="en-US" w:eastAsia="en-NZ"/>
              </w:rPr>
              <w:t xml:space="preserve">Data are sufficiently integrated so that we are able to combine multiple data sets for analysis—such as test results with educational </w:t>
            </w:r>
            <w:proofErr w:type="spellStart"/>
            <w:r w:rsidRPr="00183627">
              <w:rPr>
                <w:color w:val="000000"/>
                <w:sz w:val="24"/>
                <w:lang w:val="en-US" w:eastAsia="en-NZ"/>
              </w:rPr>
              <w:t>program</w:t>
            </w:r>
            <w:r w:rsidR="00FF3F7B">
              <w:rPr>
                <w:color w:val="000000"/>
                <w:sz w:val="24"/>
                <w:lang w:val="en-US" w:eastAsia="en-NZ"/>
              </w:rPr>
              <w:t>me</w:t>
            </w:r>
            <w:proofErr w:type="spellEnd"/>
            <w:r w:rsidRPr="00183627">
              <w:rPr>
                <w:color w:val="000000"/>
                <w:sz w:val="24"/>
                <w:lang w:val="en-US" w:eastAsia="en-NZ"/>
              </w:rPr>
              <w:t xml:space="preserve"> information.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9C1151" w:rsidRPr="00183627" w:rsidTr="003955E6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183627" w:rsidRDefault="009C1151" w:rsidP="003955E6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Data Management Procedures: </w:t>
            </w:r>
            <w:r w:rsidRPr="00183627">
              <w:rPr>
                <w:color w:val="000000"/>
                <w:sz w:val="24"/>
                <w:lang w:val="en-US" w:eastAsia="en-NZ"/>
              </w:rPr>
              <w:t>It is clear what data we have access to, when the data are available throughout the year, and what is supposed to be done with the data.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9C1151" w:rsidRPr="00183627" w:rsidTr="003955E6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183627" w:rsidRDefault="009C1151" w:rsidP="003955E6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Team Structures: </w:t>
            </w:r>
            <w:r w:rsidRPr="00183627">
              <w:rPr>
                <w:color w:val="000000"/>
                <w:sz w:val="24"/>
                <w:lang w:val="en-US" w:eastAsia="en-NZ"/>
              </w:rPr>
              <w:t>We have an established data team at my school.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1" w:rsidRPr="003955E6" w:rsidRDefault="009C1151" w:rsidP="00395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</w:tbl>
    <w:p w:rsidR="009C1151" w:rsidRPr="00183627" w:rsidRDefault="009C1151" w:rsidP="009C1151">
      <w:pPr>
        <w:spacing w:before="0" w:after="0"/>
        <w:rPr>
          <w:rFonts w:ascii="Cambria" w:eastAsia="MS Mincho" w:hAnsi="Cambria"/>
          <w:sz w:val="24"/>
          <w:lang w:val="en-US"/>
        </w:rPr>
      </w:pPr>
      <w:r w:rsidRPr="00183627">
        <w:rPr>
          <w:rFonts w:ascii="Cambria" w:eastAsia="MS Mincho" w:hAnsi="Cambria"/>
          <w:sz w:val="24"/>
          <w:lang w:val="en-US"/>
        </w:rPr>
        <w:br w:type="page"/>
      </w:r>
    </w:p>
    <w:tbl>
      <w:tblPr>
        <w:tblW w:w="10476" w:type="dxa"/>
        <w:jc w:val="center"/>
        <w:tblLayout w:type="fixed"/>
        <w:tblLook w:val="04A0" w:firstRow="1" w:lastRow="0" w:firstColumn="1" w:lastColumn="0" w:noHBand="0" w:noVBand="1"/>
      </w:tblPr>
      <w:tblGrid>
        <w:gridCol w:w="6860"/>
        <w:gridCol w:w="904"/>
        <w:gridCol w:w="904"/>
        <w:gridCol w:w="904"/>
        <w:gridCol w:w="904"/>
      </w:tblGrid>
      <w:tr w:rsidR="00CD46AE" w:rsidRPr="00183627" w:rsidTr="00F36C7B">
        <w:trPr>
          <w:trHeight w:val="522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D46AE" w:rsidRPr="00183627" w:rsidRDefault="00CD46AE" w:rsidP="00F36C7B">
            <w:pPr>
              <w:spacing w:before="0" w:after="0"/>
              <w:rPr>
                <w:b/>
                <w:bCs/>
                <w:color w:val="FFFFFF"/>
                <w:sz w:val="28"/>
                <w:szCs w:val="28"/>
                <w:lang w:val="en-NZ" w:eastAsia="en-NZ"/>
              </w:rPr>
            </w:pPr>
            <w:r w:rsidRPr="00CD46AE">
              <w:rPr>
                <w:b/>
                <w:bCs/>
                <w:color w:val="FFFFFF"/>
                <w:sz w:val="28"/>
                <w:szCs w:val="28"/>
                <w:lang w:val="en-US" w:eastAsia="en-NZ"/>
              </w:rPr>
              <w:lastRenderedPageBreak/>
              <w:t>Data Capacity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D46AE" w:rsidRPr="003955E6" w:rsidRDefault="00CD46AE" w:rsidP="00F36C7B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Red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D46AE" w:rsidRPr="003955E6" w:rsidRDefault="00CD46AE" w:rsidP="00F36C7B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Yellow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D46AE" w:rsidRPr="003955E6" w:rsidRDefault="00CD46AE" w:rsidP="00F36C7B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Blue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D46AE" w:rsidRPr="003955E6" w:rsidRDefault="00CD46AE" w:rsidP="00F36C7B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Green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Leadership Structures: </w:t>
            </w:r>
            <w:r w:rsidRPr="00183627">
              <w:rPr>
                <w:color w:val="000000"/>
                <w:sz w:val="24"/>
                <w:lang w:val="en-US" w:eastAsia="en-NZ"/>
              </w:rPr>
              <w:t>There is a “data</w:t>
            </w:r>
            <w:r>
              <w:rPr>
                <w:color w:val="000000"/>
                <w:sz w:val="24"/>
                <w:lang w:val="en-US" w:eastAsia="en-NZ"/>
              </w:rPr>
              <w:t xml:space="preserve"> leader” identified in my </w:t>
            </w:r>
            <w:r w:rsidRPr="00183627">
              <w:rPr>
                <w:color w:val="000000"/>
                <w:sz w:val="24"/>
                <w:lang w:val="en-US" w:eastAsia="en-NZ"/>
              </w:rPr>
              <w:t>school.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Time: </w:t>
            </w:r>
            <w:r w:rsidRPr="00183627">
              <w:rPr>
                <w:color w:val="000000"/>
                <w:sz w:val="24"/>
                <w:lang w:val="en-US" w:eastAsia="en-NZ"/>
              </w:rPr>
              <w:t>There is regularly scheduled time to engage in collaborative data analysis and interpretation.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Tools: </w:t>
            </w:r>
            <w:r w:rsidRPr="00183627">
              <w:rPr>
                <w:color w:val="000000"/>
                <w:sz w:val="24"/>
                <w:lang w:val="en-US" w:eastAsia="en-NZ"/>
              </w:rPr>
              <w:t xml:space="preserve">Our </w:t>
            </w:r>
            <w:proofErr w:type="gramStart"/>
            <w:r w:rsidRPr="00183627">
              <w:rPr>
                <w:color w:val="000000"/>
                <w:sz w:val="24"/>
                <w:lang w:val="en-US" w:eastAsia="en-NZ"/>
              </w:rPr>
              <w:t>staff ha</w:t>
            </w:r>
            <w:r>
              <w:rPr>
                <w:color w:val="000000"/>
                <w:sz w:val="24"/>
                <w:lang w:val="en-US" w:eastAsia="en-NZ"/>
              </w:rPr>
              <w:t>ve</w:t>
            </w:r>
            <w:proofErr w:type="gramEnd"/>
            <w:r w:rsidRPr="00183627">
              <w:rPr>
                <w:color w:val="000000"/>
                <w:sz w:val="24"/>
                <w:lang w:val="en-US" w:eastAsia="en-NZ"/>
              </w:rPr>
              <w:t xml:space="preserve"> </w:t>
            </w:r>
            <w:r>
              <w:rPr>
                <w:color w:val="000000"/>
                <w:sz w:val="24"/>
                <w:lang w:val="en-US" w:eastAsia="en-NZ"/>
              </w:rPr>
              <w:t xml:space="preserve">access to and know </w:t>
            </w:r>
            <w:r w:rsidRPr="00183627">
              <w:rPr>
                <w:color w:val="000000"/>
                <w:sz w:val="24"/>
                <w:lang w:val="en-US" w:eastAsia="en-NZ"/>
              </w:rPr>
              <w:t>how to use data analysis tools.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Question Formulation: </w:t>
            </w:r>
            <w:r>
              <w:rPr>
                <w:color w:val="000000"/>
                <w:sz w:val="24"/>
                <w:lang w:val="en-US" w:eastAsia="en-NZ"/>
              </w:rPr>
              <w:t>We</w:t>
            </w:r>
            <w:r w:rsidRPr="00183627">
              <w:rPr>
                <w:color w:val="000000"/>
                <w:sz w:val="24"/>
                <w:lang w:val="en-US" w:eastAsia="en-NZ"/>
              </w:rPr>
              <w:t xml:space="preserve"> know how to formulate questions about key educational issues.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Assessment Literacy: </w:t>
            </w:r>
            <w:r w:rsidRPr="00183627">
              <w:rPr>
                <w:color w:val="000000"/>
                <w:sz w:val="24"/>
                <w:lang w:val="en-US" w:eastAsia="en-NZ"/>
              </w:rPr>
              <w:t xml:space="preserve">Our </w:t>
            </w:r>
            <w:proofErr w:type="gramStart"/>
            <w:r w:rsidRPr="00183627">
              <w:rPr>
                <w:color w:val="000000"/>
                <w:sz w:val="24"/>
                <w:lang w:val="en-US" w:eastAsia="en-NZ"/>
              </w:rPr>
              <w:t xml:space="preserve">staff </w:t>
            </w:r>
            <w:r>
              <w:rPr>
                <w:color w:val="000000"/>
                <w:sz w:val="24"/>
                <w:lang w:val="en-US" w:eastAsia="en-NZ"/>
              </w:rPr>
              <w:t>are</w:t>
            </w:r>
            <w:proofErr w:type="gramEnd"/>
            <w:r w:rsidRPr="00183627">
              <w:rPr>
                <w:color w:val="000000"/>
                <w:sz w:val="24"/>
                <w:lang w:val="en-US" w:eastAsia="en-NZ"/>
              </w:rPr>
              <w:t xml:space="preserve"> comfortable using key assessment terms and concepts.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Action Planning: </w:t>
            </w:r>
            <w:r w:rsidRPr="00183627">
              <w:rPr>
                <w:color w:val="000000"/>
                <w:sz w:val="24"/>
                <w:lang w:val="en-US" w:eastAsia="en-NZ"/>
              </w:rPr>
              <w:t>We identify data-driven goals and develop and implement action plans to accomplish those goals.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</w:tbl>
    <w:p w:rsidR="009C1151" w:rsidRDefault="009C1151" w:rsidP="009C1151">
      <w:pPr>
        <w:spacing w:before="0" w:after="0"/>
        <w:rPr>
          <w:rFonts w:ascii="Cambria" w:eastAsia="MS Mincho" w:hAnsi="Cambria"/>
          <w:sz w:val="24"/>
          <w:lang w:val="en-US"/>
        </w:rPr>
      </w:pPr>
    </w:p>
    <w:p w:rsidR="00CD46AE" w:rsidRDefault="00CD46AE">
      <w:pPr>
        <w:spacing w:before="0" w:after="0"/>
        <w:rPr>
          <w:rFonts w:ascii="Cambria" w:eastAsia="MS Mincho" w:hAnsi="Cambria"/>
          <w:sz w:val="24"/>
          <w:lang w:val="en-US"/>
        </w:rPr>
      </w:pPr>
      <w:r>
        <w:rPr>
          <w:rFonts w:ascii="Cambria" w:eastAsia="MS Mincho" w:hAnsi="Cambria"/>
          <w:sz w:val="24"/>
          <w:lang w:val="en-US"/>
        </w:rPr>
        <w:br w:type="page"/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0"/>
        <w:gridCol w:w="904"/>
        <w:gridCol w:w="904"/>
        <w:gridCol w:w="904"/>
        <w:gridCol w:w="904"/>
      </w:tblGrid>
      <w:tr w:rsidR="00CD46AE" w:rsidRPr="00183627" w:rsidTr="00CD46AE">
        <w:trPr>
          <w:trHeight w:val="522"/>
          <w:jc w:val="center"/>
        </w:trPr>
        <w:tc>
          <w:tcPr>
            <w:tcW w:w="6860" w:type="dxa"/>
            <w:shd w:val="clear" w:color="000000" w:fill="1F497D"/>
            <w:vAlign w:val="center"/>
            <w:hideMark/>
          </w:tcPr>
          <w:p w:rsidR="00CD46AE" w:rsidRPr="00183627" w:rsidRDefault="00CD46AE" w:rsidP="00F36C7B">
            <w:pPr>
              <w:spacing w:before="0" w:after="0"/>
              <w:rPr>
                <w:b/>
                <w:bCs/>
                <w:color w:val="FFFFFF"/>
                <w:sz w:val="28"/>
                <w:szCs w:val="28"/>
                <w:lang w:val="en-NZ" w:eastAsia="en-NZ"/>
              </w:rPr>
            </w:pPr>
            <w:r w:rsidRPr="00CD46AE">
              <w:rPr>
                <w:b/>
                <w:bCs/>
                <w:color w:val="FFFFFF"/>
                <w:sz w:val="28"/>
                <w:szCs w:val="28"/>
                <w:lang w:val="en-US" w:eastAsia="en-NZ"/>
              </w:rPr>
              <w:lastRenderedPageBreak/>
              <w:t>Data Culture</w:t>
            </w:r>
          </w:p>
        </w:tc>
        <w:tc>
          <w:tcPr>
            <w:tcW w:w="904" w:type="dxa"/>
            <w:shd w:val="clear" w:color="000000" w:fill="1F497D"/>
            <w:vAlign w:val="center"/>
            <w:hideMark/>
          </w:tcPr>
          <w:p w:rsidR="00CD46AE" w:rsidRPr="003955E6" w:rsidRDefault="00CD46AE" w:rsidP="00F36C7B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Red</w:t>
            </w:r>
          </w:p>
        </w:tc>
        <w:tc>
          <w:tcPr>
            <w:tcW w:w="904" w:type="dxa"/>
            <w:shd w:val="clear" w:color="000000" w:fill="1F497D"/>
            <w:vAlign w:val="center"/>
            <w:hideMark/>
          </w:tcPr>
          <w:p w:rsidR="00CD46AE" w:rsidRPr="003955E6" w:rsidRDefault="00CD46AE" w:rsidP="00F36C7B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Yellow</w:t>
            </w:r>
          </w:p>
        </w:tc>
        <w:tc>
          <w:tcPr>
            <w:tcW w:w="904" w:type="dxa"/>
            <w:shd w:val="clear" w:color="000000" w:fill="1F497D"/>
            <w:vAlign w:val="center"/>
            <w:hideMark/>
          </w:tcPr>
          <w:p w:rsidR="00CD46AE" w:rsidRPr="003955E6" w:rsidRDefault="00CD46AE" w:rsidP="00F36C7B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Blue</w:t>
            </w:r>
          </w:p>
        </w:tc>
        <w:tc>
          <w:tcPr>
            <w:tcW w:w="904" w:type="dxa"/>
            <w:shd w:val="clear" w:color="000000" w:fill="1F497D"/>
            <w:vAlign w:val="center"/>
            <w:hideMark/>
          </w:tcPr>
          <w:p w:rsidR="00CD46AE" w:rsidRPr="003955E6" w:rsidRDefault="00CD46AE" w:rsidP="00F36C7B">
            <w:pPr>
              <w:spacing w:before="0" w:after="0"/>
              <w:jc w:val="center"/>
              <w:rPr>
                <w:b/>
                <w:bCs/>
                <w:color w:val="FFFFFF"/>
                <w:sz w:val="18"/>
                <w:lang w:val="en-NZ" w:eastAsia="en-NZ"/>
              </w:rPr>
            </w:pPr>
            <w:r w:rsidRPr="003955E6">
              <w:rPr>
                <w:b/>
                <w:bCs/>
                <w:color w:val="FFFFFF"/>
                <w:sz w:val="18"/>
                <w:lang w:val="en-US" w:eastAsia="en-NZ"/>
              </w:rPr>
              <w:t>Green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Stakeholder Commitment: </w:t>
            </w:r>
            <w:r w:rsidRPr="00183627">
              <w:rPr>
                <w:color w:val="000000"/>
                <w:sz w:val="24"/>
                <w:lang w:val="en-US" w:eastAsia="en-NZ"/>
              </w:rPr>
              <w:t>There is commitment by all key stakeholders to make better use of data.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Accountability: </w:t>
            </w:r>
            <w:r w:rsidRPr="00183627">
              <w:rPr>
                <w:color w:val="000000"/>
                <w:sz w:val="24"/>
                <w:lang w:val="en-US" w:eastAsia="en-NZ"/>
              </w:rPr>
              <w:t>There are clear expectations and people are held accountable for the use of data at the board, school, and classroom level.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Desire to Collaborate: </w:t>
            </w:r>
            <w:r w:rsidRPr="00183627">
              <w:rPr>
                <w:color w:val="000000"/>
                <w:sz w:val="24"/>
                <w:lang w:val="en-US" w:eastAsia="en-NZ"/>
              </w:rPr>
              <w:t>Collaboration amongst sta</w:t>
            </w:r>
            <w:r>
              <w:rPr>
                <w:color w:val="000000"/>
                <w:sz w:val="24"/>
                <w:lang w:val="en-US" w:eastAsia="en-NZ"/>
              </w:rPr>
              <w:t xml:space="preserve">ff is highly valued in my </w:t>
            </w:r>
            <w:r w:rsidRPr="00183627">
              <w:rPr>
                <w:color w:val="000000"/>
                <w:sz w:val="24"/>
                <w:lang w:val="en-US" w:eastAsia="en-NZ"/>
              </w:rPr>
              <w:t>school.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  <w:bookmarkStart w:id="0" w:name="_GoBack"/>
            <w:bookmarkEnd w:id="0"/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Leadership: </w:t>
            </w:r>
            <w:r w:rsidRPr="00183627">
              <w:rPr>
                <w:color w:val="000000"/>
                <w:sz w:val="24"/>
                <w:lang w:val="en-US" w:eastAsia="en-NZ"/>
              </w:rPr>
              <w:t>Board/school leaders model data-driven decision making as a key part of their roles and responsibilities.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Beliefs about Data: </w:t>
            </w:r>
            <w:r w:rsidRPr="00183627">
              <w:rPr>
                <w:color w:val="000000"/>
                <w:sz w:val="24"/>
                <w:lang w:val="en-US" w:eastAsia="en-NZ"/>
              </w:rPr>
              <w:t>Teachers believe that data can and shou</w:t>
            </w:r>
            <w:r>
              <w:rPr>
                <w:color w:val="000000"/>
                <w:sz w:val="24"/>
                <w:lang w:val="en-US" w:eastAsia="en-NZ"/>
              </w:rPr>
              <w:t>ld be used to inform teaching and learning</w:t>
            </w:r>
            <w:r w:rsidRPr="00183627">
              <w:rPr>
                <w:color w:val="000000"/>
                <w:sz w:val="24"/>
                <w:lang w:val="en-US" w:eastAsia="en-NZ"/>
              </w:rPr>
              <w:t>.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Beliefs about Instruction: </w:t>
            </w:r>
            <w:r w:rsidRPr="00183627">
              <w:rPr>
                <w:color w:val="000000"/>
                <w:sz w:val="24"/>
                <w:lang w:val="en-US" w:eastAsia="en-NZ"/>
              </w:rPr>
              <w:t xml:space="preserve">Teachers are open to changing their instruction based on data about student learning. 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NZ" w:eastAsia="en-NZ"/>
              </w:rPr>
            </w:pPr>
            <w:r w:rsidRPr="003955E6"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  <w:t> </w:t>
            </w:r>
          </w:p>
        </w:tc>
      </w:tr>
      <w:tr w:rsidR="00CD46AE" w:rsidRPr="00183627" w:rsidTr="00CD46AE">
        <w:trPr>
          <w:trHeight w:val="1167"/>
          <w:jc w:val="center"/>
        </w:trPr>
        <w:tc>
          <w:tcPr>
            <w:tcW w:w="6860" w:type="dxa"/>
            <w:shd w:val="clear" w:color="auto" w:fill="auto"/>
          </w:tcPr>
          <w:p w:rsidR="00CD46AE" w:rsidRPr="00183627" w:rsidRDefault="00CD46AE" w:rsidP="00CD46AE">
            <w:pPr>
              <w:spacing w:before="0" w:after="0"/>
              <w:rPr>
                <w:b/>
                <w:bCs/>
                <w:color w:val="000000"/>
                <w:sz w:val="24"/>
                <w:lang w:val="en-NZ" w:eastAsia="en-NZ"/>
              </w:rPr>
            </w:pPr>
            <w:r w:rsidRPr="00183627">
              <w:rPr>
                <w:b/>
                <w:bCs/>
                <w:color w:val="000000"/>
                <w:sz w:val="24"/>
                <w:lang w:val="en-US" w:eastAsia="en-NZ"/>
              </w:rPr>
              <w:t xml:space="preserve">Continual Improvement: </w:t>
            </w:r>
            <w:r w:rsidRPr="00183627">
              <w:rPr>
                <w:color w:val="000000"/>
                <w:sz w:val="24"/>
                <w:lang w:val="en-US" w:eastAsia="en-NZ"/>
              </w:rPr>
              <w:t>Our staff is committed to using the inquiry process to make ongoing improvements in teaching and learning.</w:t>
            </w:r>
          </w:p>
        </w:tc>
        <w:tc>
          <w:tcPr>
            <w:tcW w:w="904" w:type="dxa"/>
            <w:shd w:val="clear" w:color="auto" w:fill="auto"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</w:pPr>
          </w:p>
        </w:tc>
        <w:tc>
          <w:tcPr>
            <w:tcW w:w="904" w:type="dxa"/>
            <w:shd w:val="clear" w:color="auto" w:fill="auto"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</w:pPr>
          </w:p>
        </w:tc>
        <w:tc>
          <w:tcPr>
            <w:tcW w:w="904" w:type="dxa"/>
            <w:shd w:val="clear" w:color="auto" w:fill="auto"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</w:pPr>
          </w:p>
        </w:tc>
        <w:tc>
          <w:tcPr>
            <w:tcW w:w="904" w:type="dxa"/>
            <w:shd w:val="clear" w:color="auto" w:fill="auto"/>
          </w:tcPr>
          <w:p w:rsidR="00CD46AE" w:rsidRPr="003955E6" w:rsidRDefault="00CD46AE" w:rsidP="00CD46AE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US" w:eastAsia="en-NZ"/>
              </w:rPr>
            </w:pPr>
          </w:p>
        </w:tc>
      </w:tr>
    </w:tbl>
    <w:p w:rsidR="00041331" w:rsidRPr="00DF6C33" w:rsidRDefault="00CD46AE" w:rsidP="00DF14A4"/>
    <w:sectPr w:rsidR="00041331" w:rsidRPr="00DF6C33" w:rsidSect="00297E7C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383" w:right="1340" w:bottom="6" w:left="1340" w:header="284" w:footer="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21" w:rsidRDefault="00AB3521">
      <w:r>
        <w:separator/>
      </w:r>
    </w:p>
  </w:endnote>
  <w:endnote w:type="continuationSeparator" w:id="0">
    <w:p w:rsidR="00AB3521" w:rsidRDefault="00AB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Footer"/>
    </w:pPr>
  </w:p>
  <w:p w:rsidR="004D7B9E" w:rsidRDefault="004D7B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732225186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12FCE" w:rsidRPr="00212FCE" w:rsidRDefault="00212FCE" w:rsidP="00212FCE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212FCE">
          <w:rPr>
            <w:b/>
            <w:sz w:val="12"/>
            <w:szCs w:val="12"/>
            <w:lang w:val="en-NZ"/>
          </w:rPr>
          <w:t xml:space="preserve">Developed by the Starpath Project in partnership with </w:t>
        </w:r>
        <w:r w:rsidR="005A40A0">
          <w:rPr>
            <w:b/>
            <w:sz w:val="12"/>
            <w:szCs w:val="12"/>
            <w:lang w:val="en-NZ"/>
          </w:rPr>
          <w:t>t</w:t>
        </w:r>
        <w:r w:rsidRPr="00212FCE">
          <w:rPr>
            <w:b/>
            <w:sz w:val="12"/>
            <w:szCs w:val="12"/>
            <w:lang w:val="en-NZ"/>
          </w:rPr>
          <w:t>he University of Auckland</w:t>
        </w:r>
      </w:p>
      <w:p w:rsidR="00DF6C33" w:rsidRPr="00DF6C33" w:rsidRDefault="009C1151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9C1151">
          <w:rPr>
            <w:b/>
            <w:sz w:val="12"/>
            <w:szCs w:val="12"/>
            <w:lang w:val="en-NZ"/>
          </w:rPr>
          <w:t>Data Culture Questionnaire</w:t>
        </w:r>
      </w:p>
      <w:p w:rsidR="00212FCE" w:rsidRPr="00212FCE" w:rsidRDefault="00212FCE">
        <w:pPr>
          <w:pStyle w:val="Footer"/>
          <w:jc w:val="center"/>
          <w:rPr>
            <w:b/>
            <w:sz w:val="12"/>
            <w:szCs w:val="12"/>
          </w:rPr>
        </w:pPr>
        <w:r>
          <w:rPr>
            <w:b/>
            <w:sz w:val="12"/>
            <w:szCs w:val="12"/>
          </w:rPr>
          <w:t xml:space="preserve">Page </w:t>
        </w:r>
        <w:r w:rsidR="00DC54C5" w:rsidRPr="00212FCE">
          <w:rPr>
            <w:b/>
            <w:sz w:val="12"/>
            <w:szCs w:val="12"/>
          </w:rPr>
          <w:fldChar w:fldCharType="begin"/>
        </w:r>
        <w:r w:rsidRPr="00212FCE">
          <w:rPr>
            <w:b/>
            <w:sz w:val="12"/>
            <w:szCs w:val="12"/>
          </w:rPr>
          <w:instrText xml:space="preserve"> PAGE   \* MERGEFORMAT </w:instrText>
        </w:r>
        <w:r w:rsidR="00DC54C5" w:rsidRPr="00212FCE">
          <w:rPr>
            <w:b/>
            <w:sz w:val="12"/>
            <w:szCs w:val="12"/>
          </w:rPr>
          <w:fldChar w:fldCharType="separate"/>
        </w:r>
        <w:r w:rsidR="00CD46AE">
          <w:rPr>
            <w:b/>
            <w:noProof/>
            <w:sz w:val="12"/>
            <w:szCs w:val="12"/>
          </w:rPr>
          <w:t>1</w:t>
        </w:r>
        <w:r w:rsidR="00DC54C5" w:rsidRPr="00212FCE">
          <w:rPr>
            <w:b/>
            <w:noProof/>
            <w:sz w:val="12"/>
            <w:szCs w:val="12"/>
          </w:rPr>
          <w:fldChar w:fldCharType="end"/>
        </w:r>
      </w:p>
    </w:sdtContent>
  </w:sdt>
  <w:p w:rsidR="00041331" w:rsidRPr="00212FCE" w:rsidRDefault="00CD46AE" w:rsidP="00041331">
    <w:pPr>
      <w:pStyle w:val="Footer"/>
      <w:spacing w:before="0" w:after="0"/>
      <w:jc w:val="center"/>
      <w:rPr>
        <w:b/>
        <w:sz w:val="12"/>
        <w:szCs w:val="12"/>
        <w:lang w:val="en-NZ"/>
      </w:rPr>
    </w:pPr>
  </w:p>
  <w:p w:rsidR="004D7B9E" w:rsidRDefault="004D7B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21" w:rsidRDefault="00AB3521">
      <w:r>
        <w:separator/>
      </w:r>
    </w:p>
  </w:footnote>
  <w:footnote w:type="continuationSeparator" w:id="0">
    <w:p w:rsidR="00AB3521" w:rsidRDefault="00AB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Header"/>
    </w:pPr>
  </w:p>
  <w:p w:rsidR="004D7B9E" w:rsidRDefault="004D7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B71475" w:rsidP="00B71475">
    <w:pPr>
      <w:pStyle w:val="Header"/>
      <w:tabs>
        <w:tab w:val="clear" w:pos="8306"/>
        <w:tab w:val="right" w:pos="9214"/>
      </w:tabs>
    </w:pPr>
    <w:r>
      <w:rPr>
        <w:noProof/>
        <w:lang w:val="en-NZ" w:eastAsia="en-NZ"/>
      </w:rPr>
      <w:drawing>
        <wp:inline distT="0" distB="0" distL="0" distR="0" wp14:anchorId="699B5477" wp14:editId="07045637">
          <wp:extent cx="1404548" cy="468000"/>
          <wp:effectExtent l="0" t="0" r="571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48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 wp14:anchorId="4C6C2E8E" wp14:editId="6D42EEBA">
          <wp:extent cx="1473050" cy="468000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B0"/>
    <w:multiLevelType w:val="hybridMultilevel"/>
    <w:tmpl w:val="49AEF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9D10B99"/>
    <w:multiLevelType w:val="hybridMultilevel"/>
    <w:tmpl w:val="432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7728"/>
    <w:multiLevelType w:val="hybridMultilevel"/>
    <w:tmpl w:val="106A1A0C"/>
    <w:lvl w:ilvl="0" w:tplc="7DCA22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CEE814D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71C52D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85013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B40A5C4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206AE21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D34139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9EC4605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CF0414A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4">
    <w:nsid w:val="20AF0FF6"/>
    <w:multiLevelType w:val="hybridMultilevel"/>
    <w:tmpl w:val="1066798E"/>
    <w:lvl w:ilvl="0" w:tplc="B7C48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16DDF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D70C0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DAAC83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43E2ADC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03EC3B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0B8E7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14E044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3099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5">
    <w:nsid w:val="2BF04BA0"/>
    <w:multiLevelType w:val="hybridMultilevel"/>
    <w:tmpl w:val="ED1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66ED"/>
    <w:multiLevelType w:val="hybridMultilevel"/>
    <w:tmpl w:val="9C806CB2"/>
    <w:lvl w:ilvl="0" w:tplc="7B5858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44152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6F48D3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4AAD7D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D0C1C8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A1ACEAE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E6495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1CE0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BD21B5E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7">
    <w:nsid w:val="422B3B6C"/>
    <w:multiLevelType w:val="hybridMultilevel"/>
    <w:tmpl w:val="50D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6F0E"/>
    <w:multiLevelType w:val="hybridMultilevel"/>
    <w:tmpl w:val="9238D61E"/>
    <w:lvl w:ilvl="0" w:tplc="E8CA3D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4131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901C233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19C88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0B2E2FA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40FA03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1C65B90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1A709DE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F1444BD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9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0">
    <w:nsid w:val="6DE528EB"/>
    <w:multiLevelType w:val="hybridMultilevel"/>
    <w:tmpl w:val="E98E8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356D5"/>
    <w:multiLevelType w:val="hybridMultilevel"/>
    <w:tmpl w:val="CB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950C7"/>
    <w:multiLevelType w:val="hybridMultilevel"/>
    <w:tmpl w:val="4E3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4015E"/>
    <w:multiLevelType w:val="hybridMultilevel"/>
    <w:tmpl w:val="2C0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F0"/>
    <w:rsid w:val="00077BB2"/>
    <w:rsid w:val="000C2368"/>
    <w:rsid w:val="001A179A"/>
    <w:rsid w:val="001D0188"/>
    <w:rsid w:val="00212FCE"/>
    <w:rsid w:val="0022237C"/>
    <w:rsid w:val="00267229"/>
    <w:rsid w:val="00270C4E"/>
    <w:rsid w:val="00296824"/>
    <w:rsid w:val="00297E7C"/>
    <w:rsid w:val="003955E6"/>
    <w:rsid w:val="004D7B9E"/>
    <w:rsid w:val="0057105E"/>
    <w:rsid w:val="005A37C8"/>
    <w:rsid w:val="005A40A0"/>
    <w:rsid w:val="00687259"/>
    <w:rsid w:val="007661DA"/>
    <w:rsid w:val="00777D2F"/>
    <w:rsid w:val="00793CF7"/>
    <w:rsid w:val="007B778C"/>
    <w:rsid w:val="008C5A5E"/>
    <w:rsid w:val="008D4CDD"/>
    <w:rsid w:val="009C1151"/>
    <w:rsid w:val="00A161E8"/>
    <w:rsid w:val="00A613A0"/>
    <w:rsid w:val="00AB3521"/>
    <w:rsid w:val="00AC2B2D"/>
    <w:rsid w:val="00B21AF0"/>
    <w:rsid w:val="00B71475"/>
    <w:rsid w:val="00CB5163"/>
    <w:rsid w:val="00CD46AE"/>
    <w:rsid w:val="00CE2EE1"/>
    <w:rsid w:val="00DB1E96"/>
    <w:rsid w:val="00DC54C5"/>
    <w:rsid w:val="00DF14A4"/>
    <w:rsid w:val="00DF6C33"/>
    <w:rsid w:val="00E30CD3"/>
    <w:rsid w:val="00F103D8"/>
    <w:rsid w:val="00F47E16"/>
    <w:rsid w:val="00F51304"/>
    <w:rsid w:val="00F966DB"/>
    <w:rsid w:val="00FF3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93CF7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2873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Tania Linley-Richardson</cp:lastModifiedBy>
  <cp:revision>22</cp:revision>
  <cp:lastPrinted>2008-05-29T00:59:00Z</cp:lastPrinted>
  <dcterms:created xsi:type="dcterms:W3CDTF">2015-08-19T21:59:00Z</dcterms:created>
  <dcterms:modified xsi:type="dcterms:W3CDTF">2016-01-15T01:24:00Z</dcterms:modified>
</cp:coreProperties>
</file>