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0CD9" w14:textId="77777777" w:rsidR="00BA5666" w:rsidRDefault="00BA5666">
      <w:pPr>
        <w:pStyle w:val="Title"/>
        <w:spacing w:before="219"/>
        <w:rPr>
          <w:rFonts w:ascii="Verdana" w:hAnsi="Verdana"/>
        </w:rPr>
      </w:pPr>
      <w:bookmarkStart w:id="0" w:name="Globally_Harmonized_System_(GHS)"/>
      <w:bookmarkEnd w:id="0"/>
    </w:p>
    <w:p w14:paraId="65A9606D" w14:textId="77B49719" w:rsidR="003B00B0" w:rsidRPr="00103964" w:rsidRDefault="00103964">
      <w:pPr>
        <w:pStyle w:val="Title"/>
        <w:tabs>
          <w:tab w:val="left" w:pos="9155"/>
        </w:tabs>
        <w:rPr>
          <w:rFonts w:ascii="Verdana" w:hAnsi="Verdana"/>
          <w:color w:val="365F91" w:themeColor="accent1" w:themeShade="BF"/>
          <w:sz w:val="36"/>
          <w:szCs w:val="36"/>
        </w:rPr>
      </w:pPr>
      <w:r w:rsidRPr="00103964">
        <w:rPr>
          <w:rFonts w:ascii="Verdana" w:hAnsi="Verdana"/>
          <w:color w:val="365F91" w:themeColor="accent1" w:themeShade="BF"/>
          <w:sz w:val="36"/>
          <w:szCs w:val="36"/>
        </w:rPr>
        <w:t>Chemical h</w:t>
      </w:r>
      <w:r w:rsidR="00BA5666" w:rsidRPr="00103964">
        <w:rPr>
          <w:rFonts w:ascii="Verdana" w:hAnsi="Verdana"/>
          <w:color w:val="365F91" w:themeColor="accent1" w:themeShade="BF"/>
          <w:sz w:val="36"/>
          <w:szCs w:val="36"/>
        </w:rPr>
        <w:t>azard statements</w:t>
      </w:r>
      <w:r w:rsidRPr="00103964">
        <w:rPr>
          <w:rFonts w:ascii="Verdana" w:hAnsi="Verdana"/>
          <w:color w:val="365F91" w:themeColor="accent1" w:themeShade="BF"/>
          <w:sz w:val="36"/>
          <w:szCs w:val="36"/>
        </w:rPr>
        <w:t xml:space="preserve"> pertinent to pregnancy, </w:t>
      </w:r>
      <w:proofErr w:type="gramStart"/>
      <w:r w:rsidRPr="00103964">
        <w:rPr>
          <w:rFonts w:ascii="Verdana" w:hAnsi="Verdana"/>
          <w:color w:val="365F91" w:themeColor="accent1" w:themeShade="BF"/>
          <w:sz w:val="36"/>
          <w:szCs w:val="36"/>
        </w:rPr>
        <w:t>reproduction</w:t>
      </w:r>
      <w:proofErr w:type="gramEnd"/>
      <w:r w:rsidRPr="00103964">
        <w:rPr>
          <w:rFonts w:ascii="Verdana" w:hAnsi="Verdana"/>
          <w:color w:val="365F91" w:themeColor="accent1" w:themeShade="BF"/>
          <w:sz w:val="36"/>
          <w:szCs w:val="36"/>
        </w:rPr>
        <w:t xml:space="preserve"> and breastfeeding </w:t>
      </w:r>
    </w:p>
    <w:p w14:paraId="2DE52278" w14:textId="77777777" w:rsidR="003B00B0" w:rsidRPr="00BA5666" w:rsidRDefault="003B00B0">
      <w:pPr>
        <w:pStyle w:val="BodyText"/>
        <w:spacing w:before="10"/>
        <w:rPr>
          <w:rFonts w:ascii="Verdana" w:hAnsi="Verdana"/>
          <w:sz w:val="27"/>
        </w:rPr>
      </w:pPr>
    </w:p>
    <w:p w14:paraId="4A682C83" w14:textId="20A9C78F" w:rsidR="003B00B0" w:rsidRPr="00BA5666" w:rsidRDefault="00BA5666">
      <w:pPr>
        <w:spacing w:before="52"/>
        <w:ind w:left="100" w:right="148"/>
        <w:rPr>
          <w:rFonts w:ascii="Verdana" w:hAnsi="Verdana"/>
        </w:rPr>
      </w:pPr>
      <w:r w:rsidRPr="00BA5666">
        <w:rPr>
          <w:rFonts w:ascii="Verdana" w:hAnsi="Verdana"/>
        </w:rPr>
        <w:t>Hazard statements are found in every chemical’s Safety Data Sheet (SDS). You can look up SDS in Gold FFX.</w:t>
      </w:r>
      <w:r w:rsidRPr="00BA5666">
        <w:rPr>
          <w:rFonts w:ascii="Verdana" w:hAnsi="Verdana"/>
          <w:spacing w:val="1"/>
        </w:rPr>
        <w:t xml:space="preserve"> </w:t>
      </w:r>
      <w:r w:rsidRPr="00BA5666">
        <w:rPr>
          <w:rFonts w:ascii="Verdana" w:hAnsi="Verdana"/>
        </w:rPr>
        <w:t>Note, in addition</w:t>
      </w:r>
      <w:r w:rsidRPr="00BA5666">
        <w:rPr>
          <w:rFonts w:ascii="Verdana" w:hAnsi="Verdana"/>
          <w:spacing w:val="-52"/>
        </w:rPr>
        <w:t xml:space="preserve">   </w:t>
      </w:r>
      <w:r w:rsidRPr="00BA5666">
        <w:rPr>
          <w:rFonts w:ascii="Verdana" w:hAnsi="Verdana"/>
        </w:rPr>
        <w:t>to chemicals with the following hazard statements, it is also advisable to avoid chemicals</w:t>
      </w:r>
      <w:r w:rsidRPr="00BA5666">
        <w:rPr>
          <w:rFonts w:ascii="Verdana" w:hAnsi="Verdana"/>
          <w:spacing w:val="1"/>
        </w:rPr>
        <w:t xml:space="preserve"> </w:t>
      </w:r>
      <w:r w:rsidRPr="00BA5666">
        <w:rPr>
          <w:rFonts w:ascii="Verdana" w:hAnsi="Verdana"/>
        </w:rPr>
        <w:t>that</w:t>
      </w:r>
      <w:r w:rsidRPr="00BA5666">
        <w:rPr>
          <w:rFonts w:ascii="Verdana" w:hAnsi="Verdana"/>
          <w:spacing w:val="1"/>
        </w:rPr>
        <w:t xml:space="preserve"> </w:t>
      </w:r>
      <w:r w:rsidRPr="00BA5666">
        <w:rPr>
          <w:rFonts w:ascii="Verdana" w:hAnsi="Verdana"/>
        </w:rPr>
        <w:t>are</w:t>
      </w:r>
      <w:r w:rsidRPr="00BA5666">
        <w:rPr>
          <w:rFonts w:ascii="Verdana" w:hAnsi="Verdana"/>
          <w:spacing w:val="-1"/>
        </w:rPr>
        <w:t xml:space="preserve"> </w:t>
      </w:r>
      <w:r w:rsidRPr="00BA5666">
        <w:rPr>
          <w:rFonts w:ascii="Verdana" w:hAnsi="Verdana"/>
        </w:rPr>
        <w:t>highly toxic.</w:t>
      </w:r>
    </w:p>
    <w:p w14:paraId="19806C0B" w14:textId="77777777" w:rsidR="003B00B0" w:rsidRPr="00BA5666" w:rsidRDefault="003B00B0">
      <w:pPr>
        <w:pStyle w:val="BodyText"/>
        <w:spacing w:before="8"/>
        <w:rPr>
          <w:rFonts w:ascii="Verdana" w:hAnsi="Verdana"/>
          <w:sz w:val="22"/>
        </w:rPr>
      </w:pPr>
    </w:p>
    <w:p w14:paraId="6EBD9C4A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0"/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 xml:space="preserve">H340: </w:t>
      </w:r>
      <w:r w:rsidRPr="00BA5666">
        <w:rPr>
          <w:rFonts w:ascii="Verdana" w:hAnsi="Verdana"/>
          <w:color w:val="1C1C1C"/>
          <w:sz w:val="21"/>
        </w:rPr>
        <w:t>May</w:t>
      </w:r>
      <w:r w:rsidRPr="00BA5666">
        <w:rPr>
          <w:rFonts w:ascii="Verdana" w:hAnsi="Verdana"/>
          <w:color w:val="1C1C1C"/>
          <w:spacing w:val="-5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genetic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defects</w:t>
      </w:r>
    </w:p>
    <w:p w14:paraId="7B21A8DB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26"/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H341:</w:t>
      </w:r>
      <w:r w:rsidRPr="00BA5666">
        <w:rPr>
          <w:rFonts w:ascii="Verdana" w:hAnsi="Verdana"/>
          <w:b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Suspected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of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causing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genetic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defects</w:t>
      </w:r>
    </w:p>
    <w:p w14:paraId="5557E201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H350:</w:t>
      </w:r>
      <w:r w:rsidRPr="00BA5666">
        <w:rPr>
          <w:rFonts w:ascii="Verdana" w:hAnsi="Verdana"/>
          <w:b/>
          <w:color w:val="1C1C1C"/>
          <w:spacing w:val="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May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cause cancer</w:t>
      </w:r>
    </w:p>
    <w:p w14:paraId="2786115D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H351:</w:t>
      </w:r>
      <w:r w:rsidRPr="00BA5666">
        <w:rPr>
          <w:rFonts w:ascii="Verdana" w:hAnsi="Verdana"/>
          <w:b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Suspected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of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causing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cancer</w:t>
      </w:r>
    </w:p>
    <w:p w14:paraId="5D54DDD2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H360:</w:t>
      </w:r>
      <w:r w:rsidRPr="00BA5666">
        <w:rPr>
          <w:rFonts w:ascii="Verdana" w:hAnsi="Verdana"/>
          <w:b/>
          <w:color w:val="1C1C1C"/>
          <w:spacing w:val="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May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damage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fertility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the unborn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child</w:t>
      </w:r>
    </w:p>
    <w:p w14:paraId="1BCEB49B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26"/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 xml:space="preserve">H361: </w:t>
      </w:r>
      <w:r w:rsidRPr="00BA5666">
        <w:rPr>
          <w:rFonts w:ascii="Verdana" w:hAnsi="Verdana"/>
          <w:color w:val="1C1C1C"/>
          <w:sz w:val="21"/>
        </w:rPr>
        <w:t>Suspected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of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damaging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fertility</w:t>
      </w:r>
      <w:r w:rsidRPr="00BA5666">
        <w:rPr>
          <w:rFonts w:ascii="Verdana" w:hAnsi="Verdana"/>
          <w:color w:val="1C1C1C"/>
          <w:spacing w:val="-4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the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unborn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child</w:t>
      </w:r>
    </w:p>
    <w:p w14:paraId="63F366B0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H361d:</w:t>
      </w:r>
      <w:r w:rsidRPr="00BA5666">
        <w:rPr>
          <w:rFonts w:ascii="Verdana" w:hAnsi="Verdana"/>
          <w:b/>
          <w:color w:val="1C1C1C"/>
          <w:spacing w:val="-4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Suspected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of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damaging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the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unborn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child</w:t>
      </w:r>
    </w:p>
    <w:p w14:paraId="0BB7599D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H361f:</w:t>
      </w:r>
      <w:r w:rsidRPr="00BA5666">
        <w:rPr>
          <w:rFonts w:ascii="Verdana" w:hAnsi="Verdana"/>
          <w:b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Suspected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of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damaging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fertility</w:t>
      </w:r>
    </w:p>
    <w:p w14:paraId="13F59030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26"/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 xml:space="preserve">H362: </w:t>
      </w:r>
      <w:r w:rsidRPr="00BA5666">
        <w:rPr>
          <w:rFonts w:ascii="Verdana" w:hAnsi="Verdana"/>
          <w:color w:val="1C1C1C"/>
          <w:sz w:val="21"/>
        </w:rPr>
        <w:t>May</w:t>
      </w:r>
      <w:r w:rsidRPr="00BA5666">
        <w:rPr>
          <w:rFonts w:ascii="Verdana" w:hAnsi="Verdana"/>
          <w:color w:val="1C1C1C"/>
          <w:spacing w:val="-5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harm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to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breast-fed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children</w:t>
      </w:r>
    </w:p>
    <w:p w14:paraId="4EA94519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 xml:space="preserve">H370: </w:t>
      </w:r>
      <w:r w:rsidRPr="00BA5666">
        <w:rPr>
          <w:rFonts w:ascii="Verdana" w:hAnsi="Verdana"/>
          <w:color w:val="1C1C1C"/>
          <w:sz w:val="21"/>
        </w:rPr>
        <w:t>Causes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to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organs</w:t>
      </w:r>
    </w:p>
    <w:p w14:paraId="4ECCAABF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>H371:</w:t>
      </w:r>
      <w:r w:rsidRPr="00BA5666">
        <w:rPr>
          <w:rFonts w:ascii="Verdana" w:hAnsi="Verdana"/>
          <w:b/>
          <w:color w:val="1C1C1C"/>
          <w:spacing w:val="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May</w:t>
      </w:r>
      <w:r w:rsidRPr="00BA5666">
        <w:rPr>
          <w:rFonts w:ascii="Verdana" w:hAnsi="Verdana"/>
          <w:color w:val="1C1C1C"/>
          <w:spacing w:val="-4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cause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damage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to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organs</w:t>
      </w:r>
    </w:p>
    <w:p w14:paraId="1CBF32FC" w14:textId="77777777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26"/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 xml:space="preserve">H372: </w:t>
      </w:r>
      <w:r w:rsidRPr="00BA5666">
        <w:rPr>
          <w:rFonts w:ascii="Verdana" w:hAnsi="Verdana"/>
          <w:color w:val="1C1C1C"/>
          <w:sz w:val="21"/>
        </w:rPr>
        <w:t>Causes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to</w:t>
      </w:r>
      <w:r w:rsidRPr="00BA5666">
        <w:rPr>
          <w:rFonts w:ascii="Verdana" w:hAnsi="Verdana"/>
          <w:color w:val="1C1C1C"/>
          <w:spacing w:val="-4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organs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through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prolonged</w:t>
      </w:r>
      <w:r w:rsidRPr="00BA5666">
        <w:rPr>
          <w:rFonts w:ascii="Verdana" w:hAnsi="Verdana"/>
          <w:color w:val="1C1C1C"/>
          <w:spacing w:val="-4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repeated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exposure</w:t>
      </w:r>
    </w:p>
    <w:p w14:paraId="6E13BFF7" w14:textId="7B6F694E" w:rsidR="003B00B0" w:rsidRPr="00BA5666" w:rsidRDefault="00BA5666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rPr>
          <w:rFonts w:ascii="Verdana" w:hAnsi="Verdana"/>
          <w:sz w:val="21"/>
        </w:rPr>
      </w:pPr>
      <w:r w:rsidRPr="00BA5666">
        <w:rPr>
          <w:rFonts w:ascii="Verdana" w:hAnsi="Verdana"/>
          <w:b/>
          <w:color w:val="1C1C1C"/>
          <w:sz w:val="21"/>
        </w:rPr>
        <w:t xml:space="preserve">H373: </w:t>
      </w:r>
      <w:r w:rsidRPr="00BA5666">
        <w:rPr>
          <w:rFonts w:ascii="Verdana" w:hAnsi="Verdana"/>
          <w:color w:val="1C1C1C"/>
          <w:sz w:val="21"/>
        </w:rPr>
        <w:t>May</w:t>
      </w:r>
      <w:r w:rsidRPr="00BA5666">
        <w:rPr>
          <w:rFonts w:ascii="Verdana" w:hAnsi="Verdana"/>
          <w:color w:val="1C1C1C"/>
          <w:spacing w:val="-5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cause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damage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to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organs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through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prolonged</w:t>
      </w:r>
      <w:r w:rsidRPr="00BA5666">
        <w:rPr>
          <w:rFonts w:ascii="Verdana" w:hAnsi="Verdana"/>
          <w:color w:val="1C1C1C"/>
          <w:spacing w:val="-1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or</w:t>
      </w:r>
      <w:r w:rsidRPr="00BA5666">
        <w:rPr>
          <w:rFonts w:ascii="Verdana" w:hAnsi="Verdana"/>
          <w:color w:val="1C1C1C"/>
          <w:spacing w:val="-3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repeated</w:t>
      </w:r>
      <w:r w:rsidRPr="00BA5666">
        <w:rPr>
          <w:rFonts w:ascii="Verdana" w:hAnsi="Verdana"/>
          <w:color w:val="1C1C1C"/>
          <w:spacing w:val="-2"/>
          <w:sz w:val="21"/>
        </w:rPr>
        <w:t xml:space="preserve"> </w:t>
      </w:r>
      <w:r w:rsidRPr="00BA5666">
        <w:rPr>
          <w:rFonts w:ascii="Verdana" w:hAnsi="Verdana"/>
          <w:color w:val="1C1C1C"/>
          <w:sz w:val="21"/>
        </w:rPr>
        <w:t>exposure</w:t>
      </w:r>
    </w:p>
    <w:p w14:paraId="7C27CB32" w14:textId="07C09EB0" w:rsidR="00BA5666" w:rsidRPr="00BA5666" w:rsidRDefault="00BA5666" w:rsidP="00BA5666">
      <w:pPr>
        <w:tabs>
          <w:tab w:val="left" w:pos="483"/>
          <w:tab w:val="left" w:pos="484"/>
        </w:tabs>
        <w:rPr>
          <w:rFonts w:ascii="Verdana" w:hAnsi="Verdana"/>
          <w:sz w:val="21"/>
        </w:rPr>
      </w:pPr>
    </w:p>
    <w:p w14:paraId="03948BB3" w14:textId="74C0099F" w:rsidR="00BA5666" w:rsidRPr="00BA5666" w:rsidRDefault="00BA5666" w:rsidP="00BA5666">
      <w:pPr>
        <w:tabs>
          <w:tab w:val="left" w:pos="483"/>
          <w:tab w:val="left" w:pos="484"/>
        </w:tabs>
        <w:rPr>
          <w:rFonts w:ascii="Verdana" w:hAnsi="Verdana"/>
          <w:sz w:val="21"/>
        </w:rPr>
      </w:pP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520"/>
      </w:tblGrid>
      <w:tr w:rsidR="00BA5666" w:rsidRPr="00BA5666" w14:paraId="0F3CC8F7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37D26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444444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b/>
                <w:bCs/>
                <w:color w:val="444444"/>
                <w:sz w:val="21"/>
                <w:szCs w:val="21"/>
                <w:lang w:eastAsia="en-NZ"/>
              </w:rPr>
              <w:t>HSNO Class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</w:tcPr>
          <w:p w14:paraId="43222045" w14:textId="64C3EA0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b/>
                <w:bCs/>
                <w:color w:val="444444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b/>
                <w:bCs/>
                <w:color w:val="444444"/>
                <w:sz w:val="21"/>
                <w:szCs w:val="21"/>
                <w:lang w:eastAsia="en-NZ"/>
              </w:rPr>
              <w:t>GHS Classification</w:t>
            </w:r>
          </w:p>
        </w:tc>
      </w:tr>
      <w:tr w:rsidR="00BA5666" w:rsidRPr="00BA5666" w14:paraId="57315AA3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673AA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6.6A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0029E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germ cell mutagenicity Category 1</w:t>
            </w:r>
          </w:p>
        </w:tc>
      </w:tr>
      <w:tr w:rsidR="00BA5666" w:rsidRPr="00BA5666" w14:paraId="60FD324F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F0725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6.6B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1C773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germ cell mutagenicity Category 2</w:t>
            </w:r>
          </w:p>
        </w:tc>
      </w:tr>
      <w:tr w:rsidR="00BA5666" w:rsidRPr="00BA5666" w14:paraId="2BAF6BFE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BF174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6.7A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AB785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carcinogenicity Category 1</w:t>
            </w:r>
          </w:p>
        </w:tc>
      </w:tr>
      <w:tr w:rsidR="00BA5666" w:rsidRPr="00BA5666" w14:paraId="5C7F89E3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EC0B9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6.7B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43DB1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carcinogenicity Category 2</w:t>
            </w:r>
          </w:p>
        </w:tc>
      </w:tr>
      <w:tr w:rsidR="00BA5666" w:rsidRPr="00BA5666" w14:paraId="56A0B823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62B55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6.8A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92AEE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reproductive toxicity Category 1</w:t>
            </w:r>
          </w:p>
        </w:tc>
      </w:tr>
      <w:tr w:rsidR="00BA5666" w:rsidRPr="00BA5666" w14:paraId="405D0CC8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50216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6.8B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DEB00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reproductive toxicity Category 2</w:t>
            </w:r>
          </w:p>
        </w:tc>
      </w:tr>
      <w:tr w:rsidR="00BA5666" w:rsidRPr="00BA5666" w14:paraId="46541893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02DD2" w14:textId="794D9711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 xml:space="preserve">6.8C 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AB0FA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effects on or via lactation</w:t>
            </w:r>
          </w:p>
        </w:tc>
      </w:tr>
      <w:tr w:rsidR="00BA5666" w:rsidRPr="00BA5666" w14:paraId="67001A84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5EA6B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6.9A (oral, dermal, inhalation)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F0142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specific target organ toxicity – single exposure Category 1</w:t>
            </w: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br/>
              <w:t>specific target organ toxicity – repeated exposure Category 1</w:t>
            </w:r>
          </w:p>
        </w:tc>
      </w:tr>
      <w:tr w:rsidR="00BA5666" w:rsidRPr="00BA5666" w14:paraId="4732C8DF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6161E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6.9B (oral, dermal, inhalation)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B4069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specific target organ toxicity – single exposure Category 2</w:t>
            </w: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br/>
              <w:t>specific target organ toxicity – repeated exposure Category 2</w:t>
            </w:r>
          </w:p>
        </w:tc>
      </w:tr>
      <w:tr w:rsidR="00BA5666" w:rsidRPr="00BA5666" w14:paraId="5EE1760A" w14:textId="77777777" w:rsidTr="00103964">
        <w:tc>
          <w:tcPr>
            <w:tcW w:w="281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0ECDB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6.9B (narcotic effects)</w:t>
            </w:r>
          </w:p>
        </w:tc>
        <w:tc>
          <w:tcPr>
            <w:tcW w:w="6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38DD" w14:textId="77777777" w:rsidR="00BA5666" w:rsidRPr="00BA5666" w:rsidRDefault="00BA5666" w:rsidP="00103964">
            <w:pPr>
              <w:widowControl/>
              <w:autoSpaceDE/>
              <w:autoSpaceDN/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</w:pPr>
            <w:r w:rsidRPr="00BA5666">
              <w:rPr>
                <w:rFonts w:ascii="Verdana" w:eastAsia="Times New Roman" w:hAnsi="Verdana"/>
                <w:color w:val="222222"/>
                <w:sz w:val="21"/>
                <w:szCs w:val="21"/>
                <w:lang w:eastAsia="en-NZ"/>
              </w:rPr>
              <w:t>specific target organ toxicity – single exposure Category 3 narcotic effects</w:t>
            </w:r>
          </w:p>
        </w:tc>
      </w:tr>
    </w:tbl>
    <w:p w14:paraId="063E106D" w14:textId="77777777" w:rsidR="00BA5666" w:rsidRPr="00BA5666" w:rsidRDefault="00BA5666" w:rsidP="00BA5666">
      <w:pPr>
        <w:tabs>
          <w:tab w:val="left" w:pos="483"/>
          <w:tab w:val="left" w:pos="484"/>
        </w:tabs>
        <w:rPr>
          <w:rFonts w:ascii="Verdana" w:hAnsi="Verdana"/>
          <w:sz w:val="21"/>
        </w:rPr>
      </w:pPr>
    </w:p>
    <w:sectPr w:rsidR="00BA5666" w:rsidRPr="00BA5666">
      <w:footerReference w:type="default" r:id="rId7"/>
      <w:type w:val="continuous"/>
      <w:pgSz w:w="11910" w:h="16840"/>
      <w:pgMar w:top="6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D34C" w14:textId="77777777" w:rsidR="00103964" w:rsidRDefault="00103964" w:rsidP="00103964">
      <w:r>
        <w:separator/>
      </w:r>
    </w:p>
  </w:endnote>
  <w:endnote w:type="continuationSeparator" w:id="0">
    <w:p w14:paraId="7CA42F5F" w14:textId="77777777" w:rsidR="00103964" w:rsidRDefault="00103964" w:rsidP="0010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C3CE" w14:textId="76B2744E" w:rsidR="00103964" w:rsidRDefault="00103964">
    <w:pPr>
      <w:pStyle w:val="Footer"/>
    </w:pPr>
    <w:r>
      <w:t>Chemical hazard statements pregnancy reproduction breastfeeding. Health, Safety and Wellbeing, University of Auckland.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A66E" w14:textId="77777777" w:rsidR="00103964" w:rsidRDefault="00103964" w:rsidP="00103964">
      <w:r>
        <w:separator/>
      </w:r>
    </w:p>
  </w:footnote>
  <w:footnote w:type="continuationSeparator" w:id="0">
    <w:p w14:paraId="604466C5" w14:textId="77777777" w:rsidR="00103964" w:rsidRDefault="00103964" w:rsidP="0010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856"/>
    <w:multiLevelType w:val="hybridMultilevel"/>
    <w:tmpl w:val="01CE84AA"/>
    <w:lvl w:ilvl="0" w:tplc="D0D88F36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C1C1C"/>
        <w:w w:val="99"/>
        <w:sz w:val="20"/>
        <w:szCs w:val="20"/>
        <w:lang w:val="en-NZ" w:eastAsia="en-US" w:bidi="ar-SA"/>
      </w:rPr>
    </w:lvl>
    <w:lvl w:ilvl="1" w:tplc="6EF2D87C">
      <w:numFmt w:val="bullet"/>
      <w:lvlText w:val="•"/>
      <w:lvlJc w:val="left"/>
      <w:pPr>
        <w:ind w:left="1358" w:hanging="360"/>
      </w:pPr>
      <w:rPr>
        <w:rFonts w:hint="default"/>
        <w:lang w:val="en-NZ" w:eastAsia="en-US" w:bidi="ar-SA"/>
      </w:rPr>
    </w:lvl>
    <w:lvl w:ilvl="2" w:tplc="A6C2CF2A">
      <w:numFmt w:val="bullet"/>
      <w:lvlText w:val="•"/>
      <w:lvlJc w:val="left"/>
      <w:pPr>
        <w:ind w:left="2237" w:hanging="360"/>
      </w:pPr>
      <w:rPr>
        <w:rFonts w:hint="default"/>
        <w:lang w:val="en-NZ" w:eastAsia="en-US" w:bidi="ar-SA"/>
      </w:rPr>
    </w:lvl>
    <w:lvl w:ilvl="3" w:tplc="1FC07D36">
      <w:numFmt w:val="bullet"/>
      <w:lvlText w:val="•"/>
      <w:lvlJc w:val="left"/>
      <w:pPr>
        <w:ind w:left="3115" w:hanging="360"/>
      </w:pPr>
      <w:rPr>
        <w:rFonts w:hint="default"/>
        <w:lang w:val="en-NZ" w:eastAsia="en-US" w:bidi="ar-SA"/>
      </w:rPr>
    </w:lvl>
    <w:lvl w:ilvl="4" w:tplc="1AB6FF00">
      <w:numFmt w:val="bullet"/>
      <w:lvlText w:val="•"/>
      <w:lvlJc w:val="left"/>
      <w:pPr>
        <w:ind w:left="3994" w:hanging="360"/>
      </w:pPr>
      <w:rPr>
        <w:rFonts w:hint="default"/>
        <w:lang w:val="en-NZ" w:eastAsia="en-US" w:bidi="ar-SA"/>
      </w:rPr>
    </w:lvl>
    <w:lvl w:ilvl="5" w:tplc="538EEB46">
      <w:numFmt w:val="bullet"/>
      <w:lvlText w:val="•"/>
      <w:lvlJc w:val="left"/>
      <w:pPr>
        <w:ind w:left="4873" w:hanging="360"/>
      </w:pPr>
      <w:rPr>
        <w:rFonts w:hint="default"/>
        <w:lang w:val="en-NZ" w:eastAsia="en-US" w:bidi="ar-SA"/>
      </w:rPr>
    </w:lvl>
    <w:lvl w:ilvl="6" w:tplc="A448DE64">
      <w:numFmt w:val="bullet"/>
      <w:lvlText w:val="•"/>
      <w:lvlJc w:val="left"/>
      <w:pPr>
        <w:ind w:left="5751" w:hanging="360"/>
      </w:pPr>
      <w:rPr>
        <w:rFonts w:hint="default"/>
        <w:lang w:val="en-NZ" w:eastAsia="en-US" w:bidi="ar-SA"/>
      </w:rPr>
    </w:lvl>
    <w:lvl w:ilvl="7" w:tplc="43FED4E2">
      <w:numFmt w:val="bullet"/>
      <w:lvlText w:val="•"/>
      <w:lvlJc w:val="left"/>
      <w:pPr>
        <w:ind w:left="6630" w:hanging="360"/>
      </w:pPr>
      <w:rPr>
        <w:rFonts w:hint="default"/>
        <w:lang w:val="en-NZ" w:eastAsia="en-US" w:bidi="ar-SA"/>
      </w:rPr>
    </w:lvl>
    <w:lvl w:ilvl="8" w:tplc="63DC5BD0">
      <w:numFmt w:val="bullet"/>
      <w:lvlText w:val="•"/>
      <w:lvlJc w:val="left"/>
      <w:pPr>
        <w:ind w:left="7509" w:hanging="36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B0"/>
    <w:rsid w:val="00103964"/>
    <w:rsid w:val="003B00B0"/>
    <w:rsid w:val="00B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47F1"/>
  <w15:docId w15:val="{337F8121-D610-45FA-BB1C-498ABA06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8"/>
      <w:ind w:left="100"/>
    </w:pPr>
    <w:rPr>
      <w:rFonts w:ascii="Georgia" w:eastAsia="Georgia" w:hAnsi="Georgia" w:cs="Georgia"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23"/>
      <w:ind w:left="4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56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A56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3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964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03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964"/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guidelines</dc:title>
  <dc:subject>2017</dc:subject>
  <dc:creator>Anoma Ratnayake</dc:creator>
  <cp:lastModifiedBy>Emily Boyd</cp:lastModifiedBy>
  <cp:revision>2</cp:revision>
  <dcterms:created xsi:type="dcterms:W3CDTF">2022-08-10T08:24:00Z</dcterms:created>
  <dcterms:modified xsi:type="dcterms:W3CDTF">2022-08-10T08:24:00Z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2022-08-10T00:00:00Z</vt:filetime>
  </property>
</Properties>
</file>